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213"/>
        <w:gridCol w:w="1606"/>
        <w:gridCol w:w="1607"/>
        <w:gridCol w:w="3213"/>
      </w:tblGrid>
      <w:tr w:rsidR="00FD340B">
        <w:tc>
          <w:tcPr>
            <w:tcW w:w="9639" w:type="dxa"/>
            <w:gridSpan w:val="4"/>
            <w:shd w:val="clear" w:color="auto" w:fill="auto"/>
          </w:tcPr>
          <w:p w:rsidR="00FD340B" w:rsidRDefault="009C0BB4">
            <w:pPr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АДМИНИСТРАЦИЯ ТОРФЯНОГО  СЕЛЬСКОГО  ПОСЕЛЕНИЯ</w:t>
            </w:r>
          </w:p>
          <w:p w:rsidR="00FD340B" w:rsidRPr="009C0BB4" w:rsidRDefault="009C0BB4" w:rsidP="009C0BB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ОРИЧЕВСКОГО РАЙОНА КИРОВСКОЙ ОБЛАСТИ</w:t>
            </w:r>
            <w:r w:rsidR="00FD340B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</w:tr>
      <w:tr w:rsidR="00FD340B">
        <w:tc>
          <w:tcPr>
            <w:tcW w:w="9639" w:type="dxa"/>
            <w:gridSpan w:val="4"/>
            <w:shd w:val="clear" w:color="auto" w:fill="auto"/>
          </w:tcPr>
          <w:p w:rsidR="00FD340B" w:rsidRDefault="00FD340B">
            <w:pPr>
              <w:snapToGrid w:val="0"/>
              <w:spacing w:line="360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FD340B">
        <w:tc>
          <w:tcPr>
            <w:tcW w:w="9639" w:type="dxa"/>
            <w:gridSpan w:val="4"/>
            <w:shd w:val="clear" w:color="auto" w:fill="auto"/>
          </w:tcPr>
          <w:p w:rsidR="00FD340B" w:rsidRDefault="009C0BB4" w:rsidP="006C4BF9">
            <w:pPr>
              <w:tabs>
                <w:tab w:val="left" w:pos="7356"/>
              </w:tabs>
              <w:snapToGrid w:val="0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 xml:space="preserve">                                  ПОСТАНОВЛЕНИЕ</w:t>
            </w:r>
            <w:r w:rsidR="006C4BF9">
              <w:rPr>
                <w:rFonts w:eastAsia="Times New Roman"/>
                <w:b/>
                <w:sz w:val="32"/>
                <w:szCs w:val="32"/>
              </w:rPr>
              <w:tab/>
              <w:t>ПРОЕКТ</w:t>
            </w:r>
          </w:p>
        </w:tc>
      </w:tr>
      <w:tr w:rsidR="00FD340B">
        <w:tc>
          <w:tcPr>
            <w:tcW w:w="9639" w:type="dxa"/>
            <w:gridSpan w:val="4"/>
            <w:shd w:val="clear" w:color="auto" w:fill="auto"/>
          </w:tcPr>
          <w:p w:rsidR="00FD340B" w:rsidRDefault="006C4BF9" w:rsidP="009C0BB4">
            <w:pPr>
              <w:tabs>
                <w:tab w:val="left" w:pos="3708"/>
                <w:tab w:val="center" w:pos="4711"/>
              </w:tabs>
              <w:snapToGrid w:val="0"/>
              <w:spacing w:line="36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ab/>
            </w:r>
            <w:r w:rsidR="009C0BB4">
              <w:rPr>
                <w:rFonts w:eastAsia="Times New Roman"/>
                <w:sz w:val="28"/>
                <w:szCs w:val="28"/>
              </w:rPr>
              <w:tab/>
            </w:r>
            <w:r w:rsidR="00FD340B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FD340B">
        <w:trPr>
          <w:trHeight w:val="318"/>
        </w:trPr>
        <w:tc>
          <w:tcPr>
            <w:tcW w:w="3213" w:type="dxa"/>
            <w:shd w:val="clear" w:color="auto" w:fill="auto"/>
            <w:vAlign w:val="center"/>
          </w:tcPr>
          <w:p w:rsidR="00FD340B" w:rsidRDefault="009C0BB4">
            <w:pPr>
              <w:snapToGrid w:val="0"/>
              <w:spacing w:line="240" w:lineRule="exact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00.00.2021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:rsidR="00FD340B" w:rsidRDefault="00FD340B">
            <w:pPr>
              <w:snapToGrid w:val="0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FD340B" w:rsidRDefault="00FD340B">
            <w:pPr>
              <w:snapToGrid w:val="0"/>
              <w:spacing w:line="240" w:lineRule="exact"/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№  </w:t>
            </w:r>
            <w:r w:rsidR="009C0BB4">
              <w:rPr>
                <w:rFonts w:eastAsia="Times New Roman"/>
                <w:sz w:val="28"/>
                <w:szCs w:val="28"/>
                <w:u w:val="single"/>
              </w:rPr>
              <w:t>00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</w:p>
        </w:tc>
      </w:tr>
      <w:tr w:rsidR="00FD340B">
        <w:trPr>
          <w:trHeight w:val="318"/>
        </w:trPr>
        <w:tc>
          <w:tcPr>
            <w:tcW w:w="3213" w:type="dxa"/>
            <w:shd w:val="clear" w:color="auto" w:fill="auto"/>
            <w:vAlign w:val="center"/>
          </w:tcPr>
          <w:p w:rsidR="00FD340B" w:rsidRDefault="00FD340B">
            <w:pPr>
              <w:snapToGrid w:val="0"/>
              <w:spacing w:line="240" w:lineRule="exact"/>
              <w:jc w:val="center"/>
              <w:rPr>
                <w:rFonts w:eastAsia="Times New Roman"/>
                <w:sz w:val="28"/>
                <w:szCs w:val="28"/>
                <w:u w:val="single"/>
                <w:shd w:val="clear" w:color="auto" w:fill="FFFF00"/>
              </w:rPr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:rsidR="00FD340B" w:rsidRDefault="009C0BB4" w:rsidP="009C0BB4">
            <w:pPr>
              <w:snapToGrid w:val="0"/>
              <w:spacing w:line="240" w:lineRule="exact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  </w:t>
            </w:r>
            <w:r w:rsidR="00FD340B">
              <w:rPr>
                <w:rFonts w:eastAsia="Times New Roman"/>
                <w:sz w:val="28"/>
              </w:rPr>
              <w:t xml:space="preserve">пос. Торфяной 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FD340B" w:rsidRDefault="00FD340B">
            <w:pPr>
              <w:snapToGrid w:val="0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D340B">
        <w:tc>
          <w:tcPr>
            <w:tcW w:w="9639" w:type="dxa"/>
            <w:gridSpan w:val="4"/>
            <w:shd w:val="clear" w:color="auto" w:fill="auto"/>
          </w:tcPr>
          <w:p w:rsidR="00FD340B" w:rsidRDefault="00FD340B">
            <w:pPr>
              <w:snapToGrid w:val="0"/>
              <w:spacing w:line="48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D340B">
        <w:tc>
          <w:tcPr>
            <w:tcW w:w="9639" w:type="dxa"/>
            <w:gridSpan w:val="4"/>
            <w:shd w:val="clear" w:color="auto" w:fill="auto"/>
          </w:tcPr>
          <w:p w:rsidR="00FD340B" w:rsidRDefault="009C0BB4">
            <w:pPr>
              <w:snapToGrid w:val="0"/>
              <w:spacing w:line="255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 </w:t>
            </w:r>
            <w:r w:rsidR="00FD340B">
              <w:rPr>
                <w:b/>
                <w:bCs/>
                <w:sz w:val="28"/>
                <w:szCs w:val="28"/>
              </w:rPr>
              <w:t>Об у</w:t>
            </w:r>
            <w:r>
              <w:rPr>
                <w:b/>
                <w:bCs/>
                <w:sz w:val="28"/>
                <w:szCs w:val="28"/>
              </w:rPr>
              <w:t>тверждении М</w:t>
            </w:r>
            <w:r w:rsidR="00FD340B">
              <w:rPr>
                <w:b/>
                <w:bCs/>
                <w:sz w:val="28"/>
                <w:szCs w:val="28"/>
              </w:rPr>
              <w:t>естных нормативов градостроительного проектирования муниципального образования Торфяное сельское поселение Оричевского района Кировской области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FD340B">
        <w:trPr>
          <w:trHeight w:val="540"/>
        </w:trPr>
        <w:tc>
          <w:tcPr>
            <w:tcW w:w="9639" w:type="dxa"/>
            <w:gridSpan w:val="4"/>
            <w:shd w:val="clear" w:color="auto" w:fill="auto"/>
          </w:tcPr>
          <w:p w:rsidR="00FD340B" w:rsidRDefault="00FD340B">
            <w:pPr>
              <w:snapToGrid w:val="0"/>
              <w:spacing w:line="480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FD340B">
        <w:trPr>
          <w:trHeight w:val="1376"/>
        </w:trPr>
        <w:tc>
          <w:tcPr>
            <w:tcW w:w="9639" w:type="dxa"/>
            <w:gridSpan w:val="4"/>
            <w:shd w:val="clear" w:color="auto" w:fill="auto"/>
          </w:tcPr>
          <w:p w:rsidR="00FD340B" w:rsidRDefault="00FD340B">
            <w:pPr>
              <w:pStyle w:val="a6"/>
              <w:snapToGrid w:val="0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статьей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Торфяное сельское поселение Оричевского района Кировской област</w:t>
            </w:r>
            <w:r w:rsidR="009C0BB4">
              <w:rPr>
                <w:sz w:val="28"/>
                <w:szCs w:val="28"/>
              </w:rPr>
              <w:t>и, администрация Торфяного сельского поселения ПОСТАНОВЛЯЕТ</w:t>
            </w:r>
            <w:r>
              <w:rPr>
                <w:sz w:val="28"/>
                <w:szCs w:val="28"/>
              </w:rPr>
              <w:t>:</w:t>
            </w:r>
          </w:p>
          <w:p w:rsidR="00FD340B" w:rsidRDefault="00FD340B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местные нормативы градостроительного проектирования муниципального образования Торфяное сельское поселение Оричевского района Кировской об</w:t>
            </w:r>
            <w:r w:rsidR="009C0BB4">
              <w:rPr>
                <w:sz w:val="28"/>
                <w:szCs w:val="28"/>
              </w:rPr>
              <w:t>ласти (далее - МНГП</w:t>
            </w:r>
            <w:r>
              <w:rPr>
                <w:sz w:val="28"/>
                <w:szCs w:val="28"/>
              </w:rPr>
              <w:t>). Прилагаются.</w:t>
            </w:r>
          </w:p>
          <w:p w:rsidR="00FD340B" w:rsidRDefault="00FD340B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Администрации Торфяного сельского поселения Оричевского района Кировской области:</w:t>
            </w:r>
          </w:p>
          <w:p w:rsidR="00FD340B" w:rsidRDefault="00FD340B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Разместить утвержденные местные нормативы в федеральной государственной информационной системе территориального планирования в срок, не превышающего пяти дней со дня принятия настоящего решения.</w:t>
            </w:r>
          </w:p>
          <w:p w:rsidR="00FD340B" w:rsidRDefault="00FD340B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Направить в департамент строительства и архитектуры Кировской области уведомление о размещении утвержденных местных нормативов в федеральной государственной информационной системе территориального планирования в </w:t>
            </w:r>
            <w:proofErr w:type="gramStart"/>
            <w:r>
              <w:rPr>
                <w:sz w:val="28"/>
                <w:szCs w:val="28"/>
              </w:rPr>
              <w:t>срок</w:t>
            </w:r>
            <w:proofErr w:type="gramEnd"/>
            <w:r>
              <w:rPr>
                <w:sz w:val="28"/>
                <w:szCs w:val="28"/>
              </w:rPr>
              <w:t xml:space="preserve"> не превышающий 30 дней со дня принятия настоящего решения.</w:t>
            </w:r>
          </w:p>
          <w:p w:rsidR="00FD340B" w:rsidRDefault="00FD340B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Опубликовать настоящее решение в информационном бюллетене </w:t>
            </w:r>
            <w:r>
              <w:rPr>
                <w:sz w:val="28"/>
                <w:szCs w:val="28"/>
              </w:rPr>
              <w:lastRenderedPageBreak/>
              <w:t>органов местного самоуправления Торфяного сельского поселения Оричевского района Кировской области и разместить на официальном сайте</w:t>
            </w:r>
            <w:r w:rsidR="00E82DBF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Оричевского района.</w:t>
            </w:r>
          </w:p>
          <w:p w:rsidR="00FD340B" w:rsidRDefault="00E82DBF">
            <w:pPr>
              <w:pStyle w:val="a6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Постановление </w:t>
            </w:r>
            <w:r w:rsidR="00FD340B">
              <w:rPr>
                <w:sz w:val="28"/>
                <w:szCs w:val="28"/>
              </w:rPr>
              <w:t>вступает в силу со дня его официального опубликования.</w:t>
            </w:r>
          </w:p>
        </w:tc>
      </w:tr>
      <w:tr w:rsidR="00FD340B">
        <w:trPr>
          <w:trHeight w:val="233"/>
        </w:trPr>
        <w:tc>
          <w:tcPr>
            <w:tcW w:w="9639" w:type="dxa"/>
            <w:gridSpan w:val="4"/>
            <w:shd w:val="clear" w:color="auto" w:fill="auto"/>
          </w:tcPr>
          <w:p w:rsidR="00FD340B" w:rsidRDefault="00FD340B">
            <w:pPr>
              <w:snapToGrid w:val="0"/>
              <w:spacing w:line="72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D340B">
        <w:tc>
          <w:tcPr>
            <w:tcW w:w="4819" w:type="dxa"/>
            <w:gridSpan w:val="2"/>
            <w:shd w:val="clear" w:color="auto" w:fill="auto"/>
          </w:tcPr>
          <w:p w:rsidR="00FD340B" w:rsidRDefault="00E82DBF">
            <w:pPr>
              <w:tabs>
                <w:tab w:val="left" w:pos="3405"/>
              </w:tabs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И.о. главы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Торфяного</w:t>
            </w:r>
            <w:proofErr w:type="gramEnd"/>
            <w:r w:rsidR="00FD340B">
              <w:rPr>
                <w:rFonts w:eastAsia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D340B" w:rsidRDefault="00FD340B">
            <w:pPr>
              <w:tabs>
                <w:tab w:val="left" w:pos="3405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</w:tc>
      </w:tr>
      <w:tr w:rsidR="00FD340B">
        <w:tc>
          <w:tcPr>
            <w:tcW w:w="4819" w:type="dxa"/>
            <w:gridSpan w:val="2"/>
            <w:shd w:val="clear" w:color="auto" w:fill="auto"/>
          </w:tcPr>
          <w:p w:rsidR="00FD340B" w:rsidRDefault="00E82DBF" w:rsidP="00E82DBF">
            <w:pPr>
              <w:tabs>
                <w:tab w:val="left" w:pos="3876"/>
              </w:tabs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D340B" w:rsidRDefault="00E82DBF" w:rsidP="00E82DBF">
            <w:pPr>
              <w:tabs>
                <w:tab w:val="left" w:pos="252"/>
                <w:tab w:val="left" w:pos="3405"/>
              </w:tabs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ab/>
              <w:t>С.А.Филатова</w:t>
            </w:r>
            <w:r>
              <w:rPr>
                <w:rFonts w:eastAsia="Times New Roman"/>
                <w:sz w:val="28"/>
                <w:szCs w:val="28"/>
              </w:rPr>
              <w:tab/>
            </w:r>
          </w:p>
        </w:tc>
      </w:tr>
      <w:tr w:rsidR="00FD340B">
        <w:trPr>
          <w:trHeight w:val="619"/>
        </w:trPr>
        <w:tc>
          <w:tcPr>
            <w:tcW w:w="9639" w:type="dxa"/>
            <w:gridSpan w:val="4"/>
            <w:shd w:val="clear" w:color="auto" w:fill="auto"/>
          </w:tcPr>
          <w:p w:rsidR="00FD340B" w:rsidRDefault="00FD340B">
            <w:pPr>
              <w:tabs>
                <w:tab w:val="left" w:pos="3405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</w:tc>
      </w:tr>
      <w:tr w:rsidR="00FD340B">
        <w:tc>
          <w:tcPr>
            <w:tcW w:w="9639" w:type="dxa"/>
            <w:gridSpan w:val="4"/>
            <w:shd w:val="clear" w:color="auto" w:fill="auto"/>
          </w:tcPr>
          <w:p w:rsidR="00FD340B" w:rsidRDefault="00FD340B">
            <w:pPr>
              <w:tabs>
                <w:tab w:val="left" w:pos="3405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</w:tc>
      </w:tr>
      <w:tr w:rsidR="00FD340B">
        <w:tc>
          <w:tcPr>
            <w:tcW w:w="9639" w:type="dxa"/>
            <w:gridSpan w:val="4"/>
            <w:shd w:val="clear" w:color="auto" w:fill="auto"/>
          </w:tcPr>
          <w:p w:rsidR="00FD340B" w:rsidRDefault="00FD340B">
            <w:pPr>
              <w:tabs>
                <w:tab w:val="left" w:pos="3405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</w:tc>
      </w:tr>
      <w:tr w:rsidR="00FD340B">
        <w:tc>
          <w:tcPr>
            <w:tcW w:w="4819" w:type="dxa"/>
            <w:gridSpan w:val="2"/>
            <w:shd w:val="clear" w:color="auto" w:fill="auto"/>
          </w:tcPr>
          <w:p w:rsidR="00FD340B" w:rsidRDefault="00FD340B">
            <w:pPr>
              <w:tabs>
                <w:tab w:val="left" w:pos="3405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FD340B" w:rsidRDefault="00FD340B">
            <w:pPr>
              <w:tabs>
                <w:tab w:val="left" w:pos="3405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</w:tc>
      </w:tr>
      <w:tr w:rsidR="00FD340B">
        <w:tc>
          <w:tcPr>
            <w:tcW w:w="4819" w:type="dxa"/>
            <w:gridSpan w:val="2"/>
            <w:shd w:val="clear" w:color="auto" w:fill="auto"/>
          </w:tcPr>
          <w:p w:rsidR="00FD340B" w:rsidRDefault="00FD340B">
            <w:pPr>
              <w:tabs>
                <w:tab w:val="left" w:pos="3405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FD340B" w:rsidRDefault="00FD340B">
            <w:pPr>
              <w:tabs>
                <w:tab w:val="left" w:pos="3405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</w:tc>
      </w:tr>
      <w:tr w:rsidR="00FD340B">
        <w:tc>
          <w:tcPr>
            <w:tcW w:w="4819" w:type="dxa"/>
            <w:gridSpan w:val="2"/>
            <w:shd w:val="clear" w:color="auto" w:fill="auto"/>
          </w:tcPr>
          <w:p w:rsidR="00FD340B" w:rsidRDefault="00FD340B">
            <w:pPr>
              <w:tabs>
                <w:tab w:val="left" w:pos="3405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FD340B" w:rsidRDefault="00FD340B" w:rsidP="00E82DBF">
            <w:pPr>
              <w:tabs>
                <w:tab w:val="left" w:pos="3405"/>
              </w:tabs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D340B" w:rsidRDefault="00FD340B"/>
    <w:p w:rsidR="00FD340B" w:rsidRDefault="00FD340B"/>
    <w:p w:rsidR="00FD340B" w:rsidRDefault="00FD340B">
      <w:pPr>
        <w:rPr>
          <w:b/>
          <w:bCs/>
        </w:rPr>
      </w:pPr>
    </w:p>
    <w:p w:rsidR="00FD340B" w:rsidRDefault="00FD340B">
      <w:pPr>
        <w:rPr>
          <w:b/>
          <w:bCs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E82DBF">
      <w:pPr>
        <w:spacing w:line="255" w:lineRule="exact"/>
        <w:ind w:left="5386"/>
        <w:rPr>
          <w:sz w:val="28"/>
          <w:szCs w:val="28"/>
        </w:rPr>
      </w:pPr>
      <w:r>
        <w:rPr>
          <w:sz w:val="28"/>
          <w:szCs w:val="28"/>
        </w:rPr>
        <w:t xml:space="preserve">  Приложение</w:t>
      </w: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FD340B">
      <w:pPr>
        <w:spacing w:line="255" w:lineRule="exact"/>
        <w:ind w:left="5386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D340B" w:rsidRDefault="00FD340B">
      <w:pPr>
        <w:spacing w:line="255" w:lineRule="exact"/>
        <w:ind w:left="5386"/>
        <w:rPr>
          <w:sz w:val="28"/>
          <w:szCs w:val="28"/>
        </w:rPr>
      </w:pPr>
    </w:p>
    <w:p w:rsidR="00FD340B" w:rsidRDefault="00E82DBF">
      <w:pPr>
        <w:spacing w:line="255" w:lineRule="exact"/>
        <w:ind w:left="5386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Торфяного сельского поселения</w:t>
      </w:r>
    </w:p>
    <w:p w:rsidR="00FD340B" w:rsidRDefault="00E82DBF" w:rsidP="00E82DBF">
      <w:pPr>
        <w:tabs>
          <w:tab w:val="left" w:pos="5508"/>
        </w:tabs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ПРОЕКТ</w:t>
      </w:r>
    </w:p>
    <w:p w:rsidR="00FD340B" w:rsidRDefault="00E82DBF">
      <w:pPr>
        <w:spacing w:line="255" w:lineRule="exact"/>
        <w:ind w:left="5386"/>
        <w:rPr>
          <w:sz w:val="28"/>
          <w:szCs w:val="28"/>
        </w:rPr>
      </w:pPr>
      <w:r>
        <w:rPr>
          <w:sz w:val="28"/>
          <w:szCs w:val="28"/>
        </w:rPr>
        <w:t>от 00.00.2021 № 00</w:t>
      </w:r>
    </w:p>
    <w:p w:rsidR="00FD340B" w:rsidRDefault="00FD340B">
      <w:pPr>
        <w:rPr>
          <w:b/>
          <w:bCs/>
        </w:rPr>
      </w:pPr>
    </w:p>
    <w:p w:rsidR="00FD340B" w:rsidRDefault="00FD340B">
      <w:pPr>
        <w:jc w:val="center"/>
        <w:rPr>
          <w:b/>
          <w:bCs/>
        </w:rPr>
      </w:pPr>
    </w:p>
    <w:p w:rsidR="00FD340B" w:rsidRDefault="00FD340B">
      <w:pPr>
        <w:spacing w:line="255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МЕСТНЫЕ НОРМАТИВЫ</w:t>
      </w:r>
    </w:p>
    <w:p w:rsidR="00FD340B" w:rsidRDefault="00FD340B">
      <w:pPr>
        <w:spacing w:line="255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градостроительного проектирования</w:t>
      </w:r>
      <w:r w:rsidR="00E82DBF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муниципального образования Торфяное сельское поселение Оричевского района Кировской области</w:t>
      </w:r>
    </w:p>
    <w:p w:rsidR="00FD340B" w:rsidRDefault="00FD340B">
      <w:pPr>
        <w:ind w:firstLine="540"/>
        <w:rPr>
          <w:b/>
          <w:bCs/>
        </w:rPr>
      </w:pPr>
    </w:p>
    <w:p w:rsidR="00FD340B" w:rsidRDefault="00FD340B">
      <w:pPr>
        <w:ind w:firstLine="540"/>
        <w:rPr>
          <w:b/>
          <w:bCs/>
        </w:rPr>
      </w:pPr>
    </w:p>
    <w:p w:rsidR="00FD340B" w:rsidRDefault="00FD340B">
      <w:pPr>
        <w:pStyle w:val="a6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Область применения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Местные нормативы градостроительного проектирования Торфяного сельского поселения Оричевского муниципального района Кировской области (далее - местные нормативы) подготовлены в соответствии с требованиями статьи 29.4 Градостроительного кодекса Российской Федерации, статьи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Закона Кировской области от 28.09.2006 № 44-ЗО «О регулировании градостроительной деятельности в Кировской области» (далее - Закон области).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Местные нормативы устанавливают предельные значения расчетных показателей минимально допустимого уровня обеспеченности объектами местного значения, предусмотренными статьей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Закона области, населения муниципального образования Торфяного сельского поселения Оричевского муниципального района Кировской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Торфяного сельское поселение Оричевского муниципального района Кировской области.</w:t>
      </w:r>
      <w:proofErr w:type="gramEnd"/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Местные нормативы включают в себя следующие разделы: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1.3.2. </w:t>
      </w:r>
      <w:proofErr w:type="gramStart"/>
      <w:r>
        <w:rPr>
          <w:sz w:val="28"/>
          <w:szCs w:val="28"/>
        </w:rPr>
        <w:t>Основная часть (расчетные показатели минимально допустимого уровня обеспеченности объектами, предусмотренными частью 4 статьи 29.2 Градостроительного кодекса Российской Федерации, населения муниципального образования Торфяного сельского поселения Оричевского муниципального района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Торфяного сельского поселения Оричевского муниципального района Кировской области).</w:t>
      </w:r>
      <w:proofErr w:type="gramEnd"/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основной части установлены расчетные показатели для объектов местного значения Торфяного сельского поселения Оричевского муниципального района Кировской области, поименованных в статье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Закона области.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Установленные в местных нормативах показатели применяются при подготовке проекта генерального плана муниципального образования Торфяное сельское поселение Оричевского муниципального района Кировской области, а также внесению в него изменений.</w:t>
      </w:r>
    </w:p>
    <w:p w:rsidR="00FD340B" w:rsidRPr="00E82DBF" w:rsidRDefault="00E82DBF" w:rsidP="00E82DBF">
      <w:pPr>
        <w:pStyle w:val="a6"/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D340B">
        <w:rPr>
          <w:b/>
          <w:bCs/>
          <w:sz w:val="28"/>
          <w:szCs w:val="28"/>
        </w:rPr>
        <w:t>2. Основная часть. Расчетные показатели нормативов  градостроительного проектирования</w:t>
      </w:r>
    </w:p>
    <w:p w:rsidR="00FD340B" w:rsidRDefault="00FD340B" w:rsidP="00E82DB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Расчетные показатели минимально допустимого уровня  обеспеченности объектами в области транспорта и</w:t>
      </w:r>
      <w:r w:rsidR="00E82DBF">
        <w:rPr>
          <w:sz w:val="28"/>
          <w:szCs w:val="28"/>
        </w:rPr>
        <w:t xml:space="preserve"> улично-дорожные сети</w:t>
      </w:r>
    </w:p>
    <w:p w:rsidR="00FD340B" w:rsidRDefault="00FD340B" w:rsidP="00E82DBF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объектами в области тр</w:t>
      </w:r>
      <w:r w:rsidR="00E82DBF">
        <w:rPr>
          <w:sz w:val="28"/>
          <w:szCs w:val="28"/>
        </w:rPr>
        <w:t>анспорта и улично-дорожные сети</w:t>
      </w:r>
      <w:r>
        <w:rPr>
          <w:sz w:val="28"/>
          <w:szCs w:val="28"/>
        </w:rPr>
        <w:t xml:space="preserve"> следует принимать в соответствии с таблицей 1.</w:t>
      </w:r>
    </w:p>
    <w:p w:rsidR="00FD340B" w:rsidRDefault="00FD340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3"/>
        <w:gridCol w:w="3250"/>
        <w:gridCol w:w="3067"/>
        <w:gridCol w:w="2727"/>
      </w:tblGrid>
      <w:tr w:rsidR="00FD340B">
        <w:trPr>
          <w:trHeight w:val="85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jc w:val="center"/>
            </w:pPr>
            <w:r>
              <w:t xml:space="preserve">№ </w:t>
            </w:r>
          </w:p>
          <w:p w:rsidR="00FD340B" w:rsidRDefault="00FD340B">
            <w:pPr>
              <w:widowControl w:val="0"/>
              <w:autoSpaceDE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jc w:val="center"/>
            </w:pPr>
            <w:r>
              <w:t xml:space="preserve">Объект, </w:t>
            </w:r>
          </w:p>
          <w:p w:rsidR="00FD340B" w:rsidRDefault="00FD340B">
            <w:pPr>
              <w:widowControl w:val="0"/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jc w:val="center"/>
            </w:pPr>
            <w:r>
              <w:t>Максимально допустимый уровень доступности объектов</w:t>
            </w:r>
          </w:p>
        </w:tc>
      </w:tr>
      <w:tr w:rsidR="00FD340B">
        <w:trPr>
          <w:trHeight w:val="79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E82DBF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jc w:val="both"/>
            </w:pPr>
            <w:r>
              <w:t xml:space="preserve">Остановки общественного транспорта в населенных пунктах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autoSpaceDE w:val="0"/>
              <w:snapToGrid w:val="0"/>
              <w:jc w:val="center"/>
            </w:pPr>
            <w:r>
              <w:t>не нормируется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jc w:val="center"/>
            </w:pPr>
            <w:r>
              <w:t>800 метров</w:t>
            </w:r>
          </w:p>
        </w:tc>
      </w:tr>
    </w:tbl>
    <w:p w:rsidR="00E82DBF" w:rsidRDefault="00E82DBF" w:rsidP="00E82D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5A6953">
        <w:rPr>
          <w:sz w:val="28"/>
          <w:szCs w:val="28"/>
        </w:rPr>
        <w:t>Ра</w:t>
      </w:r>
      <w:r>
        <w:rPr>
          <w:sz w:val="28"/>
          <w:szCs w:val="28"/>
        </w:rPr>
        <w:t xml:space="preserve">счетные параметры категорий и расчетные параметры автомобильных дорог в черте населенного пункта уличной дорожные сети  </w:t>
      </w:r>
      <w:r w:rsidRPr="005A6953">
        <w:rPr>
          <w:sz w:val="28"/>
          <w:szCs w:val="28"/>
        </w:rPr>
        <w:t>следует принимать по таблице 1.1,</w:t>
      </w:r>
      <w:r>
        <w:rPr>
          <w:sz w:val="28"/>
          <w:szCs w:val="28"/>
        </w:rPr>
        <w:t xml:space="preserve"> и </w:t>
      </w:r>
      <w:r w:rsidRPr="005A6953">
        <w:rPr>
          <w:sz w:val="28"/>
          <w:szCs w:val="28"/>
        </w:rPr>
        <w:t xml:space="preserve"> по таблице 1.2.</w:t>
      </w:r>
    </w:p>
    <w:p w:rsidR="00E82DBF" w:rsidRDefault="00E82DBF" w:rsidP="00E82DBF">
      <w:pPr>
        <w:jc w:val="right"/>
        <w:rPr>
          <w:sz w:val="28"/>
          <w:szCs w:val="28"/>
        </w:rPr>
      </w:pPr>
      <w:r w:rsidRPr="005A6953">
        <w:rPr>
          <w:sz w:val="28"/>
          <w:szCs w:val="28"/>
        </w:rPr>
        <w:t>Таблица 1.1</w:t>
      </w:r>
    </w:p>
    <w:p w:rsidR="00E82DBF" w:rsidRPr="000765C6" w:rsidRDefault="00E82DBF" w:rsidP="00E82DBF">
      <w:pPr>
        <w:jc w:val="right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02"/>
        <w:gridCol w:w="6736"/>
      </w:tblGrid>
      <w:tr w:rsidR="00E82DBF" w:rsidRPr="006A2BDE" w:rsidTr="00392576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DBF" w:rsidRPr="006A2BDE" w:rsidRDefault="00E82DBF" w:rsidP="00392576">
            <w:pPr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DBF" w:rsidRPr="006A2BDE" w:rsidRDefault="00E82DBF" w:rsidP="00392576">
            <w:pPr>
              <w:rPr>
                <w:sz w:val="28"/>
                <w:szCs w:val="28"/>
              </w:rPr>
            </w:pPr>
          </w:p>
        </w:tc>
      </w:tr>
      <w:tr w:rsidR="00E82DBF" w:rsidRPr="006A2BDE" w:rsidTr="0039257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6A2BDE" w:rsidRDefault="00E82DBF" w:rsidP="00392576">
            <w:pPr>
              <w:jc w:val="center"/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Категория дорог и улиц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6A2BDE" w:rsidRDefault="00E82DBF" w:rsidP="00392576">
            <w:pPr>
              <w:jc w:val="center"/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Основное назначение дорог и улиц</w:t>
            </w:r>
          </w:p>
        </w:tc>
      </w:tr>
      <w:tr w:rsidR="00E82DBF" w:rsidRPr="006A2BDE" w:rsidTr="0039257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6A2BDE" w:rsidRDefault="00E82DBF" w:rsidP="00392576">
            <w:pPr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Основные улицы сельского поселения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6A2BDE" w:rsidRDefault="00E82DBF" w:rsidP="00392576">
            <w:pPr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</w:tr>
      <w:tr w:rsidR="00E82DBF" w:rsidRPr="006A2BDE" w:rsidTr="0039257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6A2BDE" w:rsidRDefault="00E82DBF" w:rsidP="00392576">
            <w:pPr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Местные улицы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6A2BDE" w:rsidRDefault="00E82DBF" w:rsidP="00392576">
            <w:pPr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Обеспечивают связь жилой застройки с основными улицами</w:t>
            </w:r>
          </w:p>
        </w:tc>
      </w:tr>
      <w:tr w:rsidR="00E82DBF" w:rsidRPr="006A2BDE" w:rsidTr="0039257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6A2BDE" w:rsidRDefault="00E82DBF" w:rsidP="00392576">
            <w:pPr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Местные дороги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6A2BDE" w:rsidRDefault="00E82DBF" w:rsidP="00392576">
            <w:pPr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</w:tr>
      <w:tr w:rsidR="00E82DBF" w:rsidRPr="006A2BDE" w:rsidTr="0039257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6A2BDE" w:rsidRDefault="00E82DBF" w:rsidP="00392576">
            <w:pPr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Проезды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6A2BDE" w:rsidRDefault="00E82DBF" w:rsidP="00392576">
            <w:pPr>
              <w:textAlignment w:val="baseline"/>
              <w:rPr>
                <w:sz w:val="28"/>
                <w:szCs w:val="28"/>
              </w:rPr>
            </w:pPr>
            <w:r w:rsidRPr="006A2BDE">
              <w:rPr>
                <w:sz w:val="28"/>
                <w:szCs w:val="28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</w:tr>
    </w:tbl>
    <w:p w:rsidR="00E82DBF" w:rsidRDefault="00E82DBF" w:rsidP="00E82DBF">
      <w:pPr>
        <w:shd w:val="clear" w:color="auto" w:fill="FFFFFF"/>
        <w:tabs>
          <w:tab w:val="left" w:pos="7980"/>
        </w:tabs>
        <w:textAlignment w:val="baseline"/>
        <w:rPr>
          <w:b/>
          <w:sz w:val="28"/>
          <w:szCs w:val="28"/>
        </w:rPr>
      </w:pPr>
    </w:p>
    <w:p w:rsidR="00E82DBF" w:rsidRPr="006A2BDE" w:rsidRDefault="00E82DBF" w:rsidP="00E82DBF">
      <w:pPr>
        <w:shd w:val="clear" w:color="auto" w:fill="FFFFFF"/>
        <w:tabs>
          <w:tab w:val="left" w:pos="7980"/>
        </w:tabs>
        <w:jc w:val="right"/>
        <w:textAlignment w:val="baseline"/>
        <w:rPr>
          <w:color w:val="444444"/>
          <w:sz w:val="28"/>
          <w:szCs w:val="28"/>
        </w:rPr>
      </w:pPr>
      <w:r w:rsidRPr="003E2DA0">
        <w:rPr>
          <w:color w:val="000000"/>
          <w:sz w:val="28"/>
          <w:szCs w:val="28"/>
        </w:rPr>
        <w:t xml:space="preserve">  Таблица 1.2</w:t>
      </w:r>
    </w:p>
    <w:tbl>
      <w:tblPr>
        <w:tblW w:w="10445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2"/>
        <w:gridCol w:w="999"/>
        <w:gridCol w:w="1275"/>
        <w:gridCol w:w="1119"/>
        <w:gridCol w:w="1331"/>
        <w:gridCol w:w="1064"/>
        <w:gridCol w:w="1064"/>
        <w:gridCol w:w="1197"/>
        <w:gridCol w:w="1464"/>
      </w:tblGrid>
      <w:tr w:rsidR="00E82DBF" w:rsidRPr="00E82DBF" w:rsidTr="00E82DBF">
        <w:trPr>
          <w:trHeight w:val="1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DBF" w:rsidRPr="00E82DBF" w:rsidRDefault="00E82DBF" w:rsidP="00E82DBF">
            <w:pPr>
              <w:suppressAutoHyphens w:val="0"/>
              <w:rPr>
                <w:rFonts w:ascii="Arial" w:eastAsia="Times New Roman" w:hAnsi="Arial" w:cs="Arial"/>
                <w:color w:val="44444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DBF" w:rsidRPr="00E82DBF" w:rsidRDefault="00E82DBF" w:rsidP="00E82DB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DBF" w:rsidRPr="00E82DBF" w:rsidRDefault="00E82DBF" w:rsidP="00E82DB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DBF" w:rsidRPr="00E82DBF" w:rsidRDefault="00E82DBF" w:rsidP="00E82DB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DBF" w:rsidRPr="00E82DBF" w:rsidRDefault="00E82DBF" w:rsidP="00E82DB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DBF" w:rsidRPr="00E82DBF" w:rsidRDefault="00E82DBF" w:rsidP="00E82DB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DBF" w:rsidRPr="00E82DBF" w:rsidRDefault="00E82DBF" w:rsidP="00E82DB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DBF" w:rsidRPr="00E82DBF" w:rsidRDefault="00E82DBF" w:rsidP="00E82DB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DBF" w:rsidRPr="00E82DBF" w:rsidRDefault="00E82DBF" w:rsidP="00E82DB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82DBF" w:rsidRPr="00E82DBF" w:rsidTr="00E82DBF">
        <w:trPr>
          <w:trHeight w:val="2228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Категория сельских улиц и дорог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 xml:space="preserve">Расчетная скорость движения, </w:t>
            </w:r>
            <w:proofErr w:type="gramStart"/>
            <w:r w:rsidRPr="00E82DBF">
              <w:rPr>
                <w:rFonts w:eastAsia="Times New Roman"/>
                <w:lang w:eastAsia="ru-RU"/>
              </w:rPr>
              <w:t>км</w:t>
            </w:r>
            <w:proofErr w:type="gramEnd"/>
            <w:r w:rsidRPr="00E82DBF">
              <w:rPr>
                <w:rFonts w:eastAsia="Times New Roman"/>
                <w:lang w:eastAsia="ru-RU"/>
              </w:rPr>
              <w:t>/ч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 xml:space="preserve">Ширина полосы движения, </w:t>
            </w:r>
            <w:proofErr w:type="gramStart"/>
            <w:r w:rsidRPr="00E82DBF">
              <w:rPr>
                <w:rFonts w:eastAsia="Times New Roman"/>
                <w:lang w:eastAsia="ru-RU"/>
              </w:rPr>
              <w:t>м</w:t>
            </w:r>
            <w:proofErr w:type="gram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Число полос движения (суммарно в двух направлениях)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 xml:space="preserve">Наименьший радиус кривых в плане без виража, </w:t>
            </w:r>
            <w:proofErr w:type="gramStart"/>
            <w:r w:rsidRPr="00E82DBF">
              <w:rPr>
                <w:rFonts w:eastAsia="Times New Roman"/>
                <w:lang w:eastAsia="ru-RU"/>
              </w:rPr>
              <w:t>м</w:t>
            </w:r>
            <w:proofErr w:type="gramEnd"/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Наибольший продольный уклон, 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 xml:space="preserve">Наименьший радиус вертикальной выпуклой кривой, </w:t>
            </w:r>
            <w:proofErr w:type="gramStart"/>
            <w:r w:rsidRPr="00E82DBF">
              <w:rPr>
                <w:rFonts w:eastAsia="Times New Roman"/>
                <w:lang w:eastAsia="ru-RU"/>
              </w:rPr>
              <w:t>м</w:t>
            </w:r>
            <w:proofErr w:type="gramEnd"/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 xml:space="preserve">Наименьший радиус вертикальной вогнутой кривой, </w:t>
            </w:r>
            <w:proofErr w:type="gramStart"/>
            <w:r w:rsidRPr="00E82DBF">
              <w:rPr>
                <w:rFonts w:eastAsia="Times New Roman"/>
                <w:lang w:eastAsia="ru-RU"/>
              </w:rPr>
              <w:t>м</w:t>
            </w:r>
            <w:proofErr w:type="gramEnd"/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 xml:space="preserve">Ширина пешеходной части тротуара, </w:t>
            </w:r>
            <w:proofErr w:type="gramStart"/>
            <w:r w:rsidRPr="00E82DBF">
              <w:rPr>
                <w:rFonts w:eastAsia="Times New Roman"/>
                <w:lang w:eastAsia="ru-RU"/>
              </w:rPr>
              <w:t>м</w:t>
            </w:r>
            <w:proofErr w:type="gramEnd"/>
          </w:p>
        </w:tc>
      </w:tr>
      <w:tr w:rsidR="00E82DBF" w:rsidRPr="00E82DBF" w:rsidTr="00E82DBF">
        <w:trPr>
          <w:trHeight w:val="1939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Основные улицы сельского поселения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3,5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220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1700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1,5</w:t>
            </w:r>
          </w:p>
        </w:tc>
      </w:tr>
      <w:tr w:rsidR="00E82DBF" w:rsidRPr="00E82DBF" w:rsidTr="00E82DBF">
        <w:trPr>
          <w:trHeight w:val="566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Местные улицы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250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1,5</w:t>
            </w:r>
          </w:p>
        </w:tc>
      </w:tr>
      <w:tr w:rsidR="00E82DBF" w:rsidRPr="00E82DBF" w:rsidTr="00E82DBF">
        <w:trPr>
          <w:trHeight w:val="1108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ind w:left="236" w:hanging="236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Местные дороги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2,75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1,0 (с одной стороны)</w:t>
            </w:r>
          </w:p>
        </w:tc>
      </w:tr>
      <w:tr w:rsidR="00E82DBF" w:rsidRPr="00E82DBF" w:rsidTr="00E82DBF">
        <w:trPr>
          <w:trHeight w:val="566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Проезды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4,5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2DBF" w:rsidRPr="00E82DBF" w:rsidRDefault="00E82DBF" w:rsidP="00E82DBF">
            <w:pPr>
              <w:suppressAutoHyphens w:val="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E82DBF">
              <w:rPr>
                <w:rFonts w:eastAsia="Times New Roman"/>
                <w:lang w:eastAsia="ru-RU"/>
              </w:rPr>
              <w:t>-</w:t>
            </w:r>
          </w:p>
        </w:tc>
      </w:tr>
    </w:tbl>
    <w:p w:rsidR="00E82DBF" w:rsidRDefault="00E82DBF" w:rsidP="00E82DBF">
      <w:pPr>
        <w:rPr>
          <w:b/>
        </w:rPr>
      </w:pPr>
    </w:p>
    <w:p w:rsidR="00E82DBF" w:rsidRDefault="00E82DBF" w:rsidP="00E82DBF">
      <w:pPr>
        <w:ind w:hanging="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B826FE">
        <w:rPr>
          <w:sz w:val="28"/>
          <w:szCs w:val="28"/>
        </w:rPr>
        <w:t>Максимально допустимый уров</w:t>
      </w:r>
      <w:r>
        <w:rPr>
          <w:sz w:val="28"/>
          <w:szCs w:val="28"/>
        </w:rPr>
        <w:t>ень допустимости не нормируется.</w:t>
      </w:r>
    </w:p>
    <w:p w:rsidR="00FD340B" w:rsidRDefault="00FD340B">
      <w:pPr>
        <w:widowControl w:val="0"/>
        <w:autoSpaceDE w:val="0"/>
        <w:spacing w:line="360" w:lineRule="auto"/>
        <w:jc w:val="both"/>
      </w:pP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Расчетные показатели минимально допустимого уровня обеспеченности объектами в области физической культуры и спорта и   расчетные показатели максимально допустимого уровня   территориальной доступности таких объектов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2.</w:t>
      </w:r>
    </w:p>
    <w:p w:rsidR="00FD340B" w:rsidRDefault="00FD340B">
      <w:pPr>
        <w:autoSpaceDE w:val="0"/>
        <w:spacing w:line="360" w:lineRule="auto"/>
        <w:ind w:right="-47"/>
        <w:jc w:val="right"/>
      </w:pPr>
    </w:p>
    <w:p w:rsidR="00FD340B" w:rsidRDefault="00FD340B">
      <w:pPr>
        <w:pStyle w:val="a6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Таблица 2</w:t>
      </w:r>
    </w:p>
    <w:tbl>
      <w:tblPr>
        <w:tblW w:w="0" w:type="auto"/>
        <w:tblInd w:w="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3950"/>
        <w:gridCol w:w="2384"/>
        <w:gridCol w:w="2793"/>
      </w:tblGrid>
      <w:tr w:rsidR="00FD340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pStyle w:val="a6"/>
              <w:snapToGrid w:val="0"/>
              <w:spacing w:after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pStyle w:val="a6"/>
              <w:snapToGrid w:val="0"/>
              <w:spacing w:after="0"/>
              <w:jc w:val="center"/>
            </w:pPr>
            <w:r>
              <w:t xml:space="preserve">Учреждение, объект, </w:t>
            </w:r>
          </w:p>
          <w:p w:rsidR="00FD340B" w:rsidRDefault="00FD340B">
            <w:pPr>
              <w:pStyle w:val="a6"/>
              <w:spacing w:after="0"/>
              <w:jc w:val="center"/>
            </w:pPr>
            <w:r>
              <w:t>единица измерения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pStyle w:val="a6"/>
              <w:snapToGrid w:val="0"/>
              <w:spacing w:after="0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0B" w:rsidRDefault="00FD340B">
            <w:pPr>
              <w:pStyle w:val="a6"/>
              <w:snapToGrid w:val="0"/>
              <w:spacing w:after="0"/>
              <w:jc w:val="center"/>
            </w:pPr>
            <w:r>
              <w:t>Максимально допустимый уровень территориальной доступности объектов</w:t>
            </w:r>
          </w:p>
        </w:tc>
      </w:tr>
      <w:tr w:rsidR="00FD340B">
        <w:trPr>
          <w:trHeight w:val="8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pStyle w:val="a6"/>
              <w:snapToGrid w:val="0"/>
              <w:spacing w:after="0"/>
              <w:jc w:val="both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pStyle w:val="a6"/>
              <w:snapToGrid w:val="0"/>
              <w:spacing w:after="0"/>
            </w:pPr>
            <w:r>
              <w:t>Помещения для физкультурно-оздоровительных занятий, кв</w:t>
            </w:r>
            <w:proofErr w:type="gramStart"/>
            <w:r>
              <w:t>.м</w:t>
            </w:r>
            <w:proofErr w:type="gramEnd"/>
            <w:r>
              <w:t>етров общей площади на 1 тыс. человек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pStyle w:val="a6"/>
              <w:snapToGrid w:val="0"/>
              <w:spacing w:after="0"/>
              <w:jc w:val="center"/>
            </w:pPr>
            <w:r>
              <w:t>80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0B" w:rsidRDefault="00FD340B">
            <w:pPr>
              <w:pStyle w:val="a6"/>
              <w:snapToGrid w:val="0"/>
              <w:spacing w:after="0"/>
              <w:jc w:val="center"/>
            </w:pPr>
            <w:r>
              <w:t>500 метров</w:t>
            </w:r>
          </w:p>
        </w:tc>
      </w:tr>
      <w:tr w:rsidR="00FD340B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pStyle w:val="a6"/>
              <w:snapToGrid w:val="0"/>
              <w:spacing w:after="0"/>
              <w:jc w:val="both"/>
            </w:pPr>
            <w: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pStyle w:val="a6"/>
              <w:snapToGrid w:val="0"/>
              <w:spacing w:after="0"/>
            </w:pPr>
            <w:r>
              <w:t xml:space="preserve">Спортивные залы общего </w:t>
            </w:r>
          </w:p>
          <w:p w:rsidR="00FD340B" w:rsidRDefault="00FD340B">
            <w:pPr>
              <w:pStyle w:val="a6"/>
              <w:spacing w:after="0"/>
            </w:pPr>
            <w:r>
              <w:t>пользования, кв. метров площади пола на 1 тыс. человек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pStyle w:val="a6"/>
              <w:snapToGrid w:val="0"/>
              <w:spacing w:after="0"/>
              <w:jc w:val="center"/>
            </w:pPr>
            <w:r>
              <w:t>70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0B" w:rsidRDefault="00E82DBF">
            <w:pPr>
              <w:pStyle w:val="a6"/>
              <w:snapToGrid w:val="0"/>
              <w:spacing w:after="0"/>
              <w:jc w:val="center"/>
            </w:pPr>
            <w:r>
              <w:t>1,5</w:t>
            </w:r>
            <w:r w:rsidR="00FD340B">
              <w:t xml:space="preserve"> км </w:t>
            </w:r>
          </w:p>
        </w:tc>
      </w:tr>
      <w:tr w:rsidR="00FD340B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pStyle w:val="a6"/>
              <w:snapToGrid w:val="0"/>
              <w:spacing w:after="0"/>
              <w:jc w:val="both"/>
            </w:pPr>
            <w:r>
              <w:t>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pStyle w:val="a6"/>
              <w:snapToGrid w:val="0"/>
              <w:spacing w:after="0"/>
            </w:pPr>
            <w:r>
              <w:t>Физкультурно-оздоровительная площадка,  кв. метров общей площади на 1 тыс. человек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A1C5A">
            <w:pPr>
              <w:pStyle w:val="a6"/>
              <w:snapToGrid w:val="0"/>
              <w:spacing w:after="0"/>
              <w:jc w:val="center"/>
            </w:pPr>
            <w:r>
              <w:t>2</w:t>
            </w:r>
            <w:r w:rsidR="00FD340B">
              <w:t>000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0B" w:rsidRDefault="00E82DBF">
            <w:pPr>
              <w:pStyle w:val="a6"/>
              <w:snapToGrid w:val="0"/>
              <w:spacing w:after="0"/>
              <w:jc w:val="center"/>
            </w:pPr>
            <w:r>
              <w:t>1,7</w:t>
            </w:r>
            <w:r w:rsidR="00FD340B">
              <w:t xml:space="preserve"> км.</w:t>
            </w:r>
          </w:p>
        </w:tc>
      </w:tr>
    </w:tbl>
    <w:p w:rsidR="00FD340B" w:rsidRDefault="00FD340B">
      <w:pPr>
        <w:autoSpaceDE w:val="0"/>
        <w:spacing w:line="360" w:lineRule="exact"/>
        <w:jc w:val="both"/>
      </w:pPr>
    </w:p>
    <w:p w:rsidR="00FD340B" w:rsidRDefault="00E82DBF">
      <w:pPr>
        <w:pStyle w:val="a6"/>
        <w:spacing w:after="0"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Примечание:</w:t>
      </w:r>
      <w:r w:rsidR="00FD340B">
        <w:rPr>
          <w:sz w:val="28"/>
          <w:szCs w:val="28"/>
        </w:rPr>
        <w:t>1.</w:t>
      </w:r>
      <w:r w:rsidR="00FD340B">
        <w:rPr>
          <w:spacing w:val="-8"/>
          <w:sz w:val="28"/>
          <w:szCs w:val="28"/>
        </w:rPr>
        <w:t>Физкультурно-оздоровительные площадки предусматриваются в населенных пунктах, где число жителей свыше 300 человек.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 Вместимость учреждений и организаций в области физической культуры и спорта и размеры их земельных участков следует принимать в соответс</w:t>
      </w:r>
      <w:r w:rsidR="00E82DBF">
        <w:rPr>
          <w:spacing w:val="-8"/>
          <w:sz w:val="28"/>
          <w:szCs w:val="28"/>
        </w:rPr>
        <w:t>твии с требованиями приложения  СП 42.13330.2016</w:t>
      </w:r>
      <w:r>
        <w:rPr>
          <w:spacing w:val="-8"/>
          <w:sz w:val="28"/>
          <w:szCs w:val="28"/>
        </w:rPr>
        <w:t xml:space="preserve"> или заданием на проектирование.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Минимальные расчетные показатели для объектов в иных областях и  расчетные показатели максимально допустимого уровня территориальной     доступности таких объектов следует принимать в соответствии с таблицей 3.</w:t>
      </w:r>
    </w:p>
    <w:p w:rsidR="00FD340B" w:rsidRDefault="00FD340B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FD340B" w:rsidRDefault="00FD340B">
      <w:pPr>
        <w:pStyle w:val="a6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Ind w:w="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3"/>
        <w:gridCol w:w="3400"/>
        <w:gridCol w:w="3000"/>
        <w:gridCol w:w="2557"/>
      </w:tblGrid>
      <w:tr w:rsidR="00FD340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№</w:t>
            </w:r>
          </w:p>
          <w:p w:rsidR="00FD340B" w:rsidRDefault="00FD340B">
            <w:pPr>
              <w:widowControl w:val="0"/>
              <w:autoSpaceDE w:val="0"/>
              <w:spacing w:line="200" w:lineRule="atLeas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Объект,</w:t>
            </w:r>
          </w:p>
          <w:p w:rsidR="00FD340B" w:rsidRDefault="00FD340B">
            <w:pPr>
              <w:widowControl w:val="0"/>
              <w:autoSpaceDE w:val="0"/>
              <w:spacing w:line="200" w:lineRule="atLeast"/>
              <w:jc w:val="center"/>
            </w:pPr>
            <w:r>
              <w:t>единица измерения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Максимально допустимый уровень доступности объектов</w:t>
            </w:r>
          </w:p>
        </w:tc>
      </w:tr>
      <w:tr w:rsidR="00FD340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4</w:t>
            </w:r>
          </w:p>
        </w:tc>
      </w:tr>
      <w:tr w:rsidR="00FD340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</w:pPr>
            <w:r>
              <w:t>Территории общего пользования рекреационного назначения местного значения</w:t>
            </w:r>
          </w:p>
          <w:p w:rsidR="00FD340B" w:rsidRDefault="00FD340B">
            <w:pPr>
              <w:widowControl w:val="0"/>
              <w:autoSpaceDE w:val="0"/>
              <w:spacing w:line="200" w:lineRule="atLeast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</w:p>
        </w:tc>
      </w:tr>
      <w:tr w:rsidR="00FD340B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rPr>
                <w:spacing w:val="-2"/>
              </w:rPr>
            </w:pPr>
            <w:r>
              <w:rPr>
                <w:spacing w:val="-2"/>
              </w:rPr>
              <w:t>Размер населенного пункта: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both"/>
            </w:pPr>
            <w:r>
              <w:t>суммарная площадь озелененных территорий общего пользования, кв</w:t>
            </w:r>
            <w:proofErr w:type="gramStart"/>
            <w:r>
              <w:t>.м</w:t>
            </w:r>
            <w:proofErr w:type="gramEnd"/>
            <w:r>
              <w:t xml:space="preserve">/человек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both"/>
            </w:pPr>
          </w:p>
        </w:tc>
      </w:tr>
      <w:tr w:rsidR="00FD340B"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</w:pPr>
            <w:r>
              <w:t>Сельский населенный пункт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12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1,7 км.</w:t>
            </w:r>
          </w:p>
        </w:tc>
      </w:tr>
      <w:tr w:rsidR="00FD340B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rPr>
                <w:spacing w:val="-4"/>
              </w:rPr>
            </w:pPr>
            <w:r>
              <w:rPr>
                <w:spacing w:val="-4"/>
              </w:rPr>
              <w:t>Объекты ритуальных услуг местного значения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</w:p>
        </w:tc>
      </w:tr>
      <w:tr w:rsidR="00FD340B"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2.1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</w:pPr>
            <w:r>
              <w:t>Кладбище традиционного захоронения, на 1 тыс. человек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both"/>
            </w:pPr>
            <w:r>
              <w:t>размер земельного участка 0,24 га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40B" w:rsidRDefault="00FD340B">
            <w:pPr>
              <w:widowControl w:val="0"/>
              <w:autoSpaceDE w:val="0"/>
              <w:snapToGrid w:val="0"/>
              <w:spacing w:line="200" w:lineRule="atLeast"/>
              <w:jc w:val="center"/>
            </w:pPr>
            <w:r>
              <w:t>доступность не нормируется, удаленность в соответствии с санитарными правилами</w:t>
            </w:r>
          </w:p>
        </w:tc>
      </w:tr>
    </w:tbl>
    <w:p w:rsidR="00FD340B" w:rsidRDefault="00FD340B">
      <w:pPr>
        <w:autoSpaceDE w:val="0"/>
        <w:spacing w:line="360" w:lineRule="auto"/>
        <w:jc w:val="both"/>
      </w:pP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</w:t>
      </w:r>
      <w:r w:rsidR="00E82DBF">
        <w:rPr>
          <w:sz w:val="28"/>
          <w:szCs w:val="28"/>
        </w:rPr>
        <w:t>я в соответствии с приложением  СП 42.13330.2016</w:t>
      </w:r>
      <w:r>
        <w:rPr>
          <w:sz w:val="28"/>
          <w:szCs w:val="28"/>
        </w:rPr>
        <w:t xml:space="preserve"> или заданием на проектирование таких объектов. 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:rsidR="00FD340B" w:rsidRDefault="00FD340B">
      <w:pPr>
        <w:pStyle w:val="a6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местных нормативах установлены расчетные показатели минимально допустимого уровня обеспеченности объектами местного значения поселения и </w:t>
      </w:r>
      <w:r>
        <w:rPr>
          <w:sz w:val="28"/>
          <w:szCs w:val="28"/>
        </w:rPr>
        <w:lastRenderedPageBreak/>
        <w:t>расчетные показатели максимально допустимого уровня территориальной доступности таких объектов для населения городского поселения с учетом:</w:t>
      </w:r>
    </w:p>
    <w:p w:rsidR="00FD340B" w:rsidRDefault="00FD340B" w:rsidP="007C182C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социально-демографического состава и плотности населения на территории муниципального образования Торфяного сельского поселения Оричевского Кировской области: общее число проживающих на территории поселения с</w:t>
      </w:r>
      <w:r w:rsidR="00665B08">
        <w:rPr>
          <w:sz w:val="28"/>
          <w:szCs w:val="28"/>
        </w:rPr>
        <w:t>оставляет 1555</w:t>
      </w:r>
      <w:r>
        <w:rPr>
          <w:sz w:val="28"/>
          <w:szCs w:val="28"/>
        </w:rPr>
        <w:t xml:space="preserve"> челов</w:t>
      </w:r>
      <w:r w:rsidR="0054419B">
        <w:rPr>
          <w:sz w:val="28"/>
          <w:szCs w:val="28"/>
        </w:rPr>
        <w:t>ек, трудоспособное население 534</w:t>
      </w:r>
      <w:r>
        <w:rPr>
          <w:sz w:val="28"/>
          <w:szCs w:val="28"/>
        </w:rPr>
        <w:t xml:space="preserve"> человека,  ста</w:t>
      </w:r>
      <w:r w:rsidR="0054419B">
        <w:rPr>
          <w:sz w:val="28"/>
          <w:szCs w:val="28"/>
        </w:rPr>
        <w:t>рше трудоспособного возраста 674</w:t>
      </w:r>
      <w:r>
        <w:rPr>
          <w:sz w:val="28"/>
          <w:szCs w:val="28"/>
        </w:rPr>
        <w:t xml:space="preserve"> челов</w:t>
      </w:r>
      <w:r w:rsidR="0054419B">
        <w:rPr>
          <w:sz w:val="28"/>
          <w:szCs w:val="28"/>
        </w:rPr>
        <w:t>ек, молодежи от 14 до 29 лет 424 человека,  школьников 161</w:t>
      </w:r>
      <w:r>
        <w:rPr>
          <w:sz w:val="28"/>
          <w:szCs w:val="28"/>
        </w:rPr>
        <w:t xml:space="preserve"> человек, жителей до </w:t>
      </w:r>
      <w:r w:rsidR="0054419B">
        <w:rPr>
          <w:sz w:val="28"/>
          <w:szCs w:val="28"/>
        </w:rPr>
        <w:t>18 лет 274</w:t>
      </w:r>
      <w:r w:rsidR="00665B08">
        <w:rPr>
          <w:sz w:val="28"/>
          <w:szCs w:val="28"/>
        </w:rPr>
        <w:t xml:space="preserve"> человек, многодетных семей 32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Плотность населения на 1 кв. км</w:t>
      </w:r>
      <w:proofErr w:type="gramStart"/>
      <w:r>
        <w:rPr>
          <w:sz w:val="28"/>
          <w:szCs w:val="28"/>
        </w:rPr>
        <w:t>.</w:t>
      </w:r>
      <w:proofErr w:type="gramEnd"/>
      <w:r w:rsidR="00665B08">
        <w:rPr>
          <w:sz w:val="28"/>
          <w:szCs w:val="28"/>
        </w:rPr>
        <w:t xml:space="preserve">  </w:t>
      </w:r>
      <w:proofErr w:type="gramStart"/>
      <w:r w:rsidR="00665B08">
        <w:rPr>
          <w:sz w:val="28"/>
          <w:szCs w:val="28"/>
        </w:rPr>
        <w:t>с</w:t>
      </w:r>
      <w:proofErr w:type="gramEnd"/>
      <w:r w:rsidR="00665B08">
        <w:rPr>
          <w:sz w:val="28"/>
          <w:szCs w:val="28"/>
        </w:rPr>
        <w:t xml:space="preserve">оставляет 10 человек, площадь территории поселения составляет </w:t>
      </w:r>
      <w:r w:rsidR="007C182C">
        <w:rPr>
          <w:sz w:val="28"/>
          <w:szCs w:val="28"/>
        </w:rPr>
        <w:t>3,87 кв.</w:t>
      </w:r>
      <w:r w:rsidR="0054419B">
        <w:rPr>
          <w:sz w:val="28"/>
          <w:szCs w:val="28"/>
        </w:rPr>
        <w:t xml:space="preserve"> </w:t>
      </w:r>
      <w:r w:rsidR="007C182C">
        <w:rPr>
          <w:sz w:val="28"/>
          <w:szCs w:val="28"/>
        </w:rPr>
        <w:t>км ;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заинтересованных лиц;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федерального законодательства, иных градостроительных показателей и норм;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региональных нормативов градостроительного проектирования Кировской области, утверждённых постановлением Правительства Кировской области от 30.12.2014 № 19/261;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схемы территориального планирования</w:t>
      </w:r>
      <w:r>
        <w:rPr>
          <w:sz w:val="28"/>
          <w:szCs w:val="28"/>
        </w:rPr>
        <w:t xml:space="preserve"> Оричевского </w:t>
      </w:r>
      <w:r>
        <w:rPr>
          <w:spacing w:val="-8"/>
          <w:sz w:val="28"/>
          <w:szCs w:val="28"/>
        </w:rPr>
        <w:t xml:space="preserve">района Кировской области, утверждённой решением </w:t>
      </w:r>
      <w:proofErr w:type="spellStart"/>
      <w:r>
        <w:rPr>
          <w:spacing w:val="-8"/>
          <w:sz w:val="28"/>
          <w:szCs w:val="28"/>
        </w:rPr>
        <w:t>Оричевской</w:t>
      </w:r>
      <w:proofErr w:type="spellEnd"/>
      <w:r>
        <w:rPr>
          <w:spacing w:val="-8"/>
          <w:sz w:val="28"/>
          <w:szCs w:val="28"/>
        </w:rPr>
        <w:t xml:space="preserve"> районной Думы от 29.06.2012 № 18/2.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Местные нормативы направлены на повышение благоприятных условий жизни населения муниципального образования Торфяное сельское поселение Оричевского муниципального района Кировской области, устойчивое развитие его территорий.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  <w:proofErr w:type="gramEnd"/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установленных в части 2 настоящих местных нормативах расчётных показателей минимально допустимого уровня обеспеченности </w:t>
      </w:r>
      <w:r>
        <w:rPr>
          <w:sz w:val="28"/>
          <w:szCs w:val="28"/>
        </w:rPr>
        <w:lastRenderedPageBreak/>
        <w:t>объектами  и  расчетные показателей максимально допустимого уровня территориальной доступности таких объектов: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от 29.12.2004         № 190-ФЗ;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 от 25.10.2001 № 136-ФЗ;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10.01.2002 № 7-ФЗ «Об охране окружающей среды»;</w:t>
      </w:r>
    </w:p>
    <w:p w:rsidR="00FD340B" w:rsidRDefault="007C182C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="00FD340B">
        <w:rPr>
          <w:sz w:val="28"/>
          <w:szCs w:val="28"/>
        </w:rPr>
        <w:t>а</w:t>
      </w:r>
      <w:r>
        <w:rPr>
          <w:sz w:val="28"/>
          <w:szCs w:val="28"/>
        </w:rPr>
        <w:t>коном Российской Федерации от 28.12.2013 № 442</w:t>
      </w:r>
      <w:r w:rsidR="00FD340B">
        <w:rPr>
          <w:sz w:val="28"/>
          <w:szCs w:val="28"/>
        </w:rPr>
        <w:t>-ФЗ «Об основах социального обслуживания в Российской Федерации»;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Российской Федерации от 03.07.1996 №1063-р «О социальных нормативах и нормах»;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34.13330.2012. Свод правил. Автомобильные дороги;</w:t>
      </w:r>
    </w:p>
    <w:p w:rsidR="00FD340B" w:rsidRDefault="007C182C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42.13330.2016</w:t>
      </w:r>
      <w:r w:rsidR="00FD340B">
        <w:rPr>
          <w:sz w:val="28"/>
          <w:szCs w:val="28"/>
        </w:rPr>
        <w:t>. Свод правил. Градостроительство. Планировка и застройка городских и сельских поселений;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 118.13330.2012. Свод правил. Общественные здания и сооружения;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2.1.2.2645-10. «Санитарно-эпидемиологические требования к условиям проживания в жилых зданиях и помещениях»;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rStyle w:val="a3"/>
          <w:color w:val="000000"/>
          <w:sz w:val="28"/>
          <w:szCs w:val="28"/>
          <w:u w:val="none"/>
        </w:rPr>
        <w:t>СанПиН</w:t>
      </w:r>
      <w:proofErr w:type="spellEnd"/>
      <w:r>
        <w:rPr>
          <w:rStyle w:val="a3"/>
          <w:color w:val="000000"/>
          <w:sz w:val="28"/>
          <w:szCs w:val="28"/>
          <w:u w:val="none"/>
        </w:rPr>
        <w:t xml:space="preserve"> 2.1.2882-11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«Гигиенические требования к размещению, устройству и содержанию кладбищ, зданий и сооружений похоронного назначения»;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rStyle w:val="a3"/>
          <w:color w:val="000000"/>
          <w:sz w:val="28"/>
          <w:szCs w:val="28"/>
          <w:u w:val="none"/>
        </w:rPr>
        <w:t>СанПиН</w:t>
      </w:r>
      <w:proofErr w:type="spellEnd"/>
      <w:r>
        <w:rPr>
          <w:rStyle w:val="a3"/>
          <w:color w:val="000000"/>
          <w:sz w:val="28"/>
          <w:szCs w:val="28"/>
          <w:u w:val="none"/>
        </w:rPr>
        <w:t xml:space="preserve"> 2.2.1/2.1.1.1200-03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области»;</w:t>
      </w:r>
    </w:p>
    <w:p w:rsidR="00FD340B" w:rsidRDefault="00FD340B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 w:rsidR="00FD340B" w:rsidRDefault="00FD340B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FD340B" w:rsidRDefault="00FD340B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FD340B" w:rsidRDefault="00FD340B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D340B" w:rsidRDefault="00FD340B">
      <w:pPr>
        <w:widowControl w:val="0"/>
        <w:autoSpaceDE w:val="0"/>
        <w:jc w:val="both"/>
      </w:pPr>
    </w:p>
    <w:p w:rsidR="00FD340B" w:rsidRDefault="00FD340B">
      <w:pPr>
        <w:widowControl w:val="0"/>
        <w:autoSpaceDE w:val="0"/>
        <w:jc w:val="both"/>
      </w:pPr>
      <w:bookmarkStart w:id="0" w:name="Par6159"/>
      <w:bookmarkEnd w:id="0"/>
    </w:p>
    <w:sectPr w:rsidR="00FD340B" w:rsidSect="0031041B">
      <w:pgSz w:w="11906" w:h="16838"/>
      <w:pgMar w:top="141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BB4"/>
    <w:rsid w:val="00047E49"/>
    <w:rsid w:val="0031041B"/>
    <w:rsid w:val="0054419B"/>
    <w:rsid w:val="00665B08"/>
    <w:rsid w:val="006670C9"/>
    <w:rsid w:val="006C4BF9"/>
    <w:rsid w:val="007C182C"/>
    <w:rsid w:val="009C0BB4"/>
    <w:rsid w:val="00E82DBF"/>
    <w:rsid w:val="00FA1C5A"/>
    <w:rsid w:val="00FD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B"/>
    <w:pPr>
      <w:suppressAutoHyphens/>
    </w:pPr>
    <w:rPr>
      <w:rFonts w:eastAsia="Calibri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1041B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1041B"/>
  </w:style>
  <w:style w:type="character" w:customStyle="1" w:styleId="WW-Absatz-Standardschriftart">
    <w:name w:val="WW-Absatz-Standardschriftart"/>
    <w:rsid w:val="0031041B"/>
  </w:style>
  <w:style w:type="character" w:customStyle="1" w:styleId="WW-Absatz-Standardschriftart1">
    <w:name w:val="WW-Absatz-Standardschriftart1"/>
    <w:rsid w:val="0031041B"/>
  </w:style>
  <w:style w:type="character" w:customStyle="1" w:styleId="WW-Absatz-Standardschriftart11">
    <w:name w:val="WW-Absatz-Standardschriftart11"/>
    <w:rsid w:val="0031041B"/>
  </w:style>
  <w:style w:type="character" w:customStyle="1" w:styleId="20">
    <w:name w:val="Основной шрифт абзаца2"/>
    <w:rsid w:val="0031041B"/>
  </w:style>
  <w:style w:type="character" w:customStyle="1" w:styleId="WW-Absatz-Standardschriftart111">
    <w:name w:val="WW-Absatz-Standardschriftart111"/>
    <w:rsid w:val="0031041B"/>
  </w:style>
  <w:style w:type="character" w:customStyle="1" w:styleId="1">
    <w:name w:val="Основной шрифт абзаца1"/>
    <w:rsid w:val="0031041B"/>
  </w:style>
  <w:style w:type="character" w:customStyle="1" w:styleId="Heading2Char">
    <w:name w:val="Heading 2 Char"/>
    <w:basedOn w:val="1"/>
    <w:rsid w:val="0031041B"/>
    <w:rPr>
      <w:rFonts w:eastAsia="Calibri"/>
      <w:sz w:val="28"/>
      <w:szCs w:val="28"/>
      <w:lang w:val="ru-RU" w:eastAsia="ar-SA" w:bidi="ar-SA"/>
    </w:rPr>
  </w:style>
  <w:style w:type="character" w:styleId="a3">
    <w:name w:val="Hyperlink"/>
    <w:basedOn w:val="1"/>
    <w:rsid w:val="0031041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rsid w:val="0031041B"/>
    <w:rPr>
      <w:rFonts w:cs="Times New Roman"/>
    </w:rPr>
  </w:style>
  <w:style w:type="character" w:customStyle="1" w:styleId="a4">
    <w:name w:val="Символ нумерации"/>
    <w:rsid w:val="0031041B"/>
  </w:style>
  <w:style w:type="paragraph" w:customStyle="1" w:styleId="a5">
    <w:name w:val="Заголовок"/>
    <w:basedOn w:val="a"/>
    <w:next w:val="a6"/>
    <w:rsid w:val="0031041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31041B"/>
    <w:pPr>
      <w:spacing w:after="120"/>
    </w:pPr>
  </w:style>
  <w:style w:type="paragraph" w:styleId="a7">
    <w:name w:val="List"/>
    <w:basedOn w:val="a6"/>
    <w:rsid w:val="0031041B"/>
    <w:rPr>
      <w:rFonts w:cs="Tahoma"/>
    </w:rPr>
  </w:style>
  <w:style w:type="paragraph" w:customStyle="1" w:styleId="21">
    <w:name w:val="Название2"/>
    <w:basedOn w:val="a"/>
    <w:rsid w:val="0031041B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1041B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31041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1041B"/>
    <w:pPr>
      <w:suppressLineNumbers/>
    </w:pPr>
    <w:rPr>
      <w:rFonts w:cs="Tahoma"/>
    </w:rPr>
  </w:style>
  <w:style w:type="paragraph" w:customStyle="1" w:styleId="12">
    <w:name w:val="Абзац1"/>
    <w:basedOn w:val="a"/>
    <w:rsid w:val="0031041B"/>
    <w:pPr>
      <w:spacing w:after="60" w:line="360" w:lineRule="exact"/>
      <w:ind w:firstLine="709"/>
      <w:jc w:val="both"/>
    </w:pPr>
    <w:rPr>
      <w:sz w:val="28"/>
      <w:szCs w:val="28"/>
    </w:rPr>
  </w:style>
  <w:style w:type="paragraph" w:styleId="a8">
    <w:name w:val="Normal (Web)"/>
    <w:basedOn w:val="a"/>
    <w:rsid w:val="0031041B"/>
    <w:pPr>
      <w:spacing w:before="280" w:after="280"/>
    </w:pPr>
  </w:style>
  <w:style w:type="paragraph" w:customStyle="1" w:styleId="u">
    <w:name w:val="u"/>
    <w:basedOn w:val="a"/>
    <w:rsid w:val="0031041B"/>
    <w:pPr>
      <w:spacing w:before="280" w:after="280"/>
    </w:pPr>
    <w:rPr>
      <w:rFonts w:eastAsia="Times New Roman"/>
    </w:rPr>
  </w:style>
  <w:style w:type="paragraph" w:customStyle="1" w:styleId="a9">
    <w:name w:val="Содержимое таблицы"/>
    <w:basedOn w:val="a"/>
    <w:rsid w:val="0031041B"/>
    <w:pPr>
      <w:suppressLineNumbers/>
    </w:pPr>
  </w:style>
  <w:style w:type="paragraph" w:customStyle="1" w:styleId="aa">
    <w:name w:val="Заголовок таблицы"/>
    <w:basedOn w:val="a9"/>
    <w:rsid w:val="0031041B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310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КОРШИКСКАЯ СЕЛЬСКАЯ ДУМА</vt:lpstr>
    </vt:vector>
  </TitlesOfParts>
  <Company>Microsoft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КОРШИКСКАЯ СЕЛЬСКАЯ ДУМА</dc:title>
  <dc:creator>User</dc:creator>
  <cp:lastModifiedBy>1</cp:lastModifiedBy>
  <cp:revision>4</cp:revision>
  <cp:lastPrinted>2015-03-06T06:46:00Z</cp:lastPrinted>
  <dcterms:created xsi:type="dcterms:W3CDTF">2015-03-12T05:39:00Z</dcterms:created>
  <dcterms:modified xsi:type="dcterms:W3CDTF">2021-06-29T07:33:00Z</dcterms:modified>
</cp:coreProperties>
</file>